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97C86">
      <w:pPr>
        <w:pStyle w:val="ConsPlusNonformat0"/>
        <w:widowControl/>
        <w:tabs>
          <w:tab w:val="left" w:pos="3825"/>
        </w:tabs>
        <w:ind w:firstLine="708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cs="XO Thames"/>
          <w:sz w:val="24"/>
        </w:rPr>
        <w:t>В ходе проведения проверки:</w:t>
      </w:r>
      <w:r>
        <w:rPr>
          <w:rFonts w:ascii="XO Thames" w:hAnsi="XO Thames" w:cs="XO Thames"/>
          <w:sz w:val="24"/>
        </w:rPr>
        <w:tab/>
      </w:r>
    </w:p>
    <w:p w:rsidR="00000000" w:rsidRDefault="00197C86">
      <w:pPr>
        <w:pStyle w:val="ConsPlusNonformat0"/>
        <w:ind w:firstLine="708"/>
        <w:jc w:val="both"/>
        <w:rPr>
          <w:rFonts w:ascii="Times New Roman" w:hAnsi="Times New Roman" w:cs="Times New Roman"/>
        </w:rPr>
      </w:pPr>
      <w:r>
        <w:rPr>
          <w:rFonts w:ascii="XO Thames" w:hAnsi="XO Thames" w:cs="XO Thames"/>
          <w:sz w:val="24"/>
          <w:szCs w:val="24"/>
        </w:rPr>
        <w:t>выявлены нарушения обязательных требований (с указанием положений (нормативных) правовых актов):</w:t>
      </w:r>
    </w:p>
    <w:p w:rsidR="00000000" w:rsidRDefault="00197C86">
      <w:pPr>
        <w:ind w:firstLine="709"/>
        <w:jc w:val="both"/>
      </w:pPr>
      <w:r>
        <w:t xml:space="preserve">1. </w:t>
      </w:r>
      <w:proofErr w:type="gramStart"/>
      <w:r>
        <w:t>В подразделе «Исчерпывающий перечень документов, необходимых для предоставления муниципально</w:t>
      </w:r>
      <w:r>
        <w:t xml:space="preserve">й услуги» </w:t>
      </w:r>
      <w:r>
        <w:rPr>
          <w:b/>
          <w:bCs/>
        </w:rPr>
        <w:t xml:space="preserve">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утвержденного постановлением Главы </w:t>
      </w:r>
      <w:proofErr w:type="spellStart"/>
      <w:r>
        <w:rPr>
          <w:b/>
          <w:bCs/>
        </w:rPr>
        <w:t>Калтанского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 xml:space="preserve">городского округа от 01.04.2026                 № 87-п, </w:t>
      </w:r>
      <w:r>
        <w:t>указано, что «документы, необходимые в соответствии с законодательными или иными нормативными правовыми актами для предоставления Услуги, которые заявитель должен предоставить самостоятельно, законода</w:t>
      </w:r>
      <w:r>
        <w:t>тельными</w:t>
      </w:r>
      <w:proofErr w:type="gramEnd"/>
      <w:r>
        <w:t xml:space="preserve"> </w:t>
      </w:r>
      <w:proofErr w:type="gramStart"/>
      <w:r>
        <w:t>или иными нормативными правовыми актами Российской Федерации не предусмотрены.</w:t>
      </w:r>
      <w:proofErr w:type="gramEnd"/>
      <w:r>
        <w:t xml:space="preserve"> Предоставление заявителем документов, предусмотренных в настоящем подразделе, а также запрос осуществляется по электронной почте», что не соответствует п. 9 Порядка при</w:t>
      </w:r>
      <w:r>
        <w:t xml:space="preserve">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утв. приказом Минпросвещения РФ от 15.05.2020 № 236.</w:t>
      </w:r>
    </w:p>
    <w:p w:rsidR="00000000" w:rsidRDefault="00197C86">
      <w:pPr>
        <w:ind w:firstLine="709"/>
        <w:jc w:val="both"/>
      </w:pPr>
      <w:r>
        <w:t xml:space="preserve">2. </w:t>
      </w:r>
      <w:proofErr w:type="gramStart"/>
      <w:r>
        <w:t xml:space="preserve">В таблицах 1, 2 приложения № 1 к </w:t>
      </w:r>
      <w:r>
        <w:rPr>
          <w:b/>
          <w:bCs/>
        </w:rPr>
        <w:t>административному регламенту предоставления муниципальной услуги «Постановка на учет и направлен</w:t>
      </w:r>
      <w:r>
        <w:rPr>
          <w:b/>
          <w:bCs/>
        </w:rPr>
        <w:t xml:space="preserve">ие детей в образовательные учреждения, реализующие образовательные программы дошкольного образования», утвержденного постановлением Главы </w:t>
      </w:r>
      <w:proofErr w:type="spellStart"/>
      <w:r>
        <w:rPr>
          <w:b/>
          <w:bCs/>
        </w:rPr>
        <w:t>Калтанского</w:t>
      </w:r>
      <w:proofErr w:type="spellEnd"/>
      <w:r>
        <w:rPr>
          <w:b/>
          <w:bCs/>
        </w:rPr>
        <w:t xml:space="preserve"> городского округа от 01.04.2026        № 87-п</w:t>
      </w:r>
      <w:r>
        <w:t>, указана «коррекционная» направленность дошкольных групп, чт</w:t>
      </w:r>
      <w:r>
        <w:t>о не предусмотрено            п. 13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</w:t>
      </w:r>
      <w:proofErr w:type="gramEnd"/>
      <w:r>
        <w:t>. приказом Минпросвещения РФ от 31.07.2020 № 373.</w:t>
      </w:r>
    </w:p>
    <w:p w:rsidR="00000000" w:rsidRDefault="00197C86">
      <w:pPr>
        <w:ind w:firstLine="709"/>
        <w:jc w:val="both"/>
      </w:pPr>
      <w:r>
        <w:t>3. Аб</w:t>
      </w:r>
      <w:r>
        <w:t xml:space="preserve">зац «Круг заявителей» раздела «I. </w:t>
      </w:r>
      <w:proofErr w:type="gramStart"/>
      <w:r>
        <w:t xml:space="preserve">Общие положения» </w:t>
      </w:r>
      <w:r>
        <w:rPr>
          <w:b/>
          <w:bCs/>
        </w:rPr>
        <w:t>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утвержденного постанов</w:t>
      </w:r>
      <w:r>
        <w:rPr>
          <w:b/>
          <w:bCs/>
        </w:rPr>
        <w:t xml:space="preserve">лением администрации </w:t>
      </w:r>
      <w:proofErr w:type="spellStart"/>
      <w:r>
        <w:rPr>
          <w:b/>
          <w:bCs/>
        </w:rPr>
        <w:t>Калтанского</w:t>
      </w:r>
      <w:proofErr w:type="spellEnd"/>
      <w:r>
        <w:rPr>
          <w:b/>
          <w:bCs/>
        </w:rPr>
        <w:t xml:space="preserve"> городского округа от 01.04.2026 № 93-п </w:t>
      </w:r>
      <w:r>
        <w:t>(далее -</w:t>
      </w:r>
      <w:r>
        <w:rPr>
          <w:b/>
          <w:bCs/>
        </w:rPr>
        <w:t xml:space="preserve"> </w:t>
      </w:r>
      <w:r>
        <w:t>Административный регламент о зачислении)</w:t>
      </w:r>
      <w:r>
        <w:t>, не соответствует п. 1 ч. 1 ст. 29, ч. 1 ст. 55 Федерального закона от 29.12.2012 № 273-ФЗ «Об образовании в Российской Федерации», п.</w:t>
      </w:r>
      <w:r>
        <w:t>п. 4, 23.1 Порядка</w:t>
      </w:r>
      <w:proofErr w:type="gramEnd"/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утв. приказом Минпросвещения России от 02.09.2020 № 458</w:t>
      </w:r>
      <w:r>
        <w:t xml:space="preserve"> </w:t>
      </w:r>
      <w:r>
        <w:t>(далее — Порядок приема № 458)</w:t>
      </w:r>
      <w:r>
        <w:t>.</w:t>
      </w:r>
    </w:p>
    <w:p w:rsidR="00000000" w:rsidRDefault="00197C86">
      <w:pPr>
        <w:ind w:firstLine="709"/>
        <w:jc w:val="both"/>
      </w:pPr>
      <w:r>
        <w:t>4. Абзац «Срок предоставления Усл</w:t>
      </w:r>
      <w:r>
        <w:t xml:space="preserve">уги» раздела «II. Стандарт предоставления Услуги» </w:t>
      </w:r>
      <w:r>
        <w:t xml:space="preserve">Административного регламента о зачислении </w:t>
      </w:r>
      <w:r>
        <w:t>не соответствует п.п. 17, 31 Порядка приема             № 458.</w:t>
      </w:r>
    </w:p>
    <w:p w:rsidR="00000000" w:rsidRDefault="00197C86">
      <w:pPr>
        <w:ind w:firstLine="709"/>
        <w:jc w:val="both"/>
      </w:pPr>
      <w:r>
        <w:t>5. Абзац «Исчерпывающий перечень документов, необходимых для предоставления муниципальной услуги» раз</w:t>
      </w:r>
      <w:r>
        <w:t>дела «II. Стандарт предоставления Услуги» Административного регламента о зачислении не соответствует п.п. 26, 26.1, 26.2 Порядка приема № 458.</w:t>
      </w:r>
    </w:p>
    <w:p w:rsidR="00000000" w:rsidRDefault="00197C86">
      <w:pPr>
        <w:ind w:firstLine="709"/>
        <w:jc w:val="both"/>
      </w:pPr>
      <w:r>
        <w:t>6. Абзац «Описание административной процедуры приема запроса и документов и (или) информации, необходимых для пре</w:t>
      </w:r>
      <w:r>
        <w:t>доставления муниципальной услуги» раздела «III. Состав, последовательность и сроки выполнения административных процедур» Административного регламента о зачислении не соответствует п. 26 Порядка приема № 458.</w:t>
      </w:r>
    </w:p>
    <w:p w:rsidR="00000000" w:rsidRDefault="00197C86">
      <w:pPr>
        <w:ind w:firstLine="709"/>
        <w:jc w:val="both"/>
      </w:pPr>
      <w:r>
        <w:t>7</w:t>
      </w:r>
      <w:r>
        <w:t xml:space="preserve">. Абзац «В описание административной процедуры </w:t>
      </w:r>
      <w:r>
        <w:t>межведомственного информационного взаимодействия» раздела «III. Состав, последовательность и сроки выполнения административных процедур» Административного регламента о зачислении не соответствует п. 23 Порядка приема № 458.</w:t>
      </w:r>
    </w:p>
    <w:p w:rsidR="00000000" w:rsidRDefault="00197C86">
      <w:pPr>
        <w:ind w:firstLine="709"/>
        <w:jc w:val="both"/>
      </w:pPr>
      <w:r>
        <w:t xml:space="preserve">8. В </w:t>
      </w:r>
      <w:r>
        <w:rPr>
          <w:b/>
        </w:rPr>
        <w:t>Уставе муниципального бюдже</w:t>
      </w:r>
      <w:r>
        <w:rPr>
          <w:b/>
        </w:rPr>
        <w:t xml:space="preserve">тного общеобразовательного учреждения «Средняя общеобразовательная школа № 30 имени Н.Н. </w:t>
      </w:r>
      <w:proofErr w:type="spellStart"/>
      <w:r>
        <w:rPr>
          <w:b/>
        </w:rPr>
        <w:t>Колокольц</w:t>
      </w:r>
      <w:r>
        <w:rPr>
          <w:b/>
        </w:rPr>
        <w:t>о</w:t>
      </w:r>
      <w:r>
        <w:rPr>
          <w:b/>
        </w:rPr>
        <w:t>ва</w:t>
      </w:r>
      <w:proofErr w:type="spellEnd"/>
      <w:r>
        <w:rPr>
          <w:b/>
        </w:rPr>
        <w:t xml:space="preserve">», </w:t>
      </w:r>
      <w:r>
        <w:rPr>
          <w:b/>
          <w:color w:val="000000"/>
        </w:rPr>
        <w:t>зарегистрированного МИФНС № 15 по Кемеровской области - Кузбассу 19.09.2025</w:t>
      </w:r>
      <w:r>
        <w:rPr>
          <w:color w:val="000000"/>
        </w:rPr>
        <w:t>:</w:t>
      </w:r>
    </w:p>
    <w:p w:rsidR="00000000" w:rsidRDefault="00197C86">
      <w:pPr>
        <w:ind w:firstLine="709"/>
        <w:jc w:val="both"/>
      </w:pPr>
      <w:r>
        <w:t xml:space="preserve">- п. 3.7 не соответствует п. 15 Порядка </w:t>
      </w:r>
      <w:r>
        <w:t>приема № 458</w:t>
      </w:r>
      <w:r>
        <w:t>.</w:t>
      </w:r>
    </w:p>
    <w:p w:rsidR="00000000" w:rsidRDefault="00197C86">
      <w:pPr>
        <w:ind w:firstLine="709"/>
        <w:jc w:val="both"/>
      </w:pPr>
      <w:r>
        <w:lastRenderedPageBreak/>
        <w:t>- п. 6.1 не соответст</w:t>
      </w:r>
      <w:r>
        <w:t>вует п. 31 ст. 2 Федерального закона от 29.12.2012 № 273-ФЗ «Об образовании в Российской Федерации»;</w:t>
      </w:r>
    </w:p>
    <w:p w:rsidR="00000000" w:rsidRDefault="00197C86">
      <w:pPr>
        <w:ind w:firstLine="709"/>
        <w:jc w:val="both"/>
      </w:pPr>
      <w:r>
        <w:t>- п. 6.2 не соответствует ст. 34 Федерального закона от 29.12.2012 № 273-ФЗ «Об образовании в Российской Федерации».</w:t>
      </w:r>
    </w:p>
    <w:p w:rsidR="00000000" w:rsidRDefault="00197C86">
      <w:pPr>
        <w:ind w:firstLine="709"/>
        <w:jc w:val="both"/>
        <w:rPr>
          <w:rFonts w:eastAsia="Calibri"/>
          <w:szCs w:val="28"/>
          <w:lang w:eastAsia="en-US"/>
        </w:rPr>
      </w:pPr>
      <w:r>
        <w:t xml:space="preserve">9. </w:t>
      </w:r>
      <w:r>
        <w:rPr>
          <w:rFonts w:eastAsia="Calibri"/>
          <w:color w:val="000000"/>
          <w:szCs w:val="28"/>
          <w:lang w:eastAsia="en-US"/>
        </w:rPr>
        <w:t>При проверке личных дел несовершенн</w:t>
      </w:r>
      <w:r>
        <w:rPr>
          <w:rFonts w:eastAsia="Calibri"/>
          <w:color w:val="000000"/>
          <w:szCs w:val="28"/>
          <w:lang w:eastAsia="en-US"/>
        </w:rPr>
        <w:t xml:space="preserve">олетних </w:t>
      </w:r>
      <w:proofErr w:type="gramStart"/>
      <w:r>
        <w:rPr>
          <w:rFonts w:eastAsia="Calibri"/>
          <w:color w:val="000000"/>
          <w:szCs w:val="28"/>
          <w:lang w:eastAsia="en-US"/>
        </w:rPr>
        <w:t>П</w:t>
      </w:r>
      <w:proofErr w:type="gramEnd"/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rFonts w:eastAsia="Calibri"/>
          <w:color w:val="000000"/>
          <w:szCs w:val="28"/>
          <w:lang w:eastAsia="en-US"/>
        </w:rPr>
        <w:t xml:space="preserve"> С.П.. 06.06.2020 г.р., П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rFonts w:eastAsia="Calibri"/>
          <w:color w:val="000000"/>
          <w:szCs w:val="28"/>
          <w:lang w:eastAsia="en-US"/>
        </w:rPr>
        <w:t xml:space="preserve"> М.Р., 08.04.2017 г.р., установлено, что органом опеки и попечительства администрации </w:t>
      </w:r>
      <w:proofErr w:type="spellStart"/>
      <w:r>
        <w:rPr>
          <w:rFonts w:eastAsia="Calibri"/>
          <w:color w:val="000000"/>
          <w:szCs w:val="28"/>
          <w:lang w:eastAsia="en-US"/>
        </w:rPr>
        <w:t>Калтанского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городского округа не заключен договор безвозмездного пользования с опекуном, проживающим в жилом помещении, с</w:t>
      </w:r>
      <w:r>
        <w:rPr>
          <w:rFonts w:eastAsia="Calibri"/>
          <w:color w:val="000000"/>
          <w:szCs w:val="28"/>
          <w:lang w:eastAsia="en-US"/>
        </w:rPr>
        <w:t>обственниками которого являются дети-сироты и дети, оставшиеся без попечения родителей, в</w:t>
      </w:r>
      <w:r>
        <w:rPr>
          <w:rFonts w:eastAsia="Calibri"/>
          <w:szCs w:val="28"/>
          <w:lang w:eastAsia="en-US"/>
        </w:rPr>
        <w:t xml:space="preserve"> нарушение </w:t>
      </w:r>
      <w:r>
        <w:rPr>
          <w:rFonts w:eastAsia="Calibri"/>
          <w:b/>
          <w:szCs w:val="28"/>
          <w:lang w:eastAsia="en-US"/>
        </w:rPr>
        <w:t xml:space="preserve">статьи 17 Федерального закона от 24.04.2008 № 48-ФЗ «Об опеке и </w:t>
      </w:r>
      <w:proofErr w:type="gramStart"/>
      <w:r>
        <w:rPr>
          <w:rFonts w:eastAsia="Calibri"/>
          <w:b/>
          <w:szCs w:val="28"/>
          <w:lang w:eastAsia="en-US"/>
        </w:rPr>
        <w:t>попечительстве</w:t>
      </w:r>
      <w:proofErr w:type="gramEnd"/>
      <w:r>
        <w:rPr>
          <w:rFonts w:eastAsia="Calibri"/>
          <w:b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000000" w:rsidRDefault="00197C86">
      <w:pPr>
        <w:ind w:firstLine="709"/>
        <w:jc w:val="both"/>
        <w:rPr>
          <w:color w:val="000000"/>
        </w:rPr>
      </w:pPr>
      <w:r>
        <w:rPr>
          <w:rFonts w:eastAsia="Calibri"/>
          <w:szCs w:val="28"/>
          <w:lang w:eastAsia="en-US"/>
        </w:rPr>
        <w:t>10.</w:t>
      </w:r>
      <w:r>
        <w:rPr>
          <w:rFonts w:eastAsia="Calibri"/>
          <w:color w:val="000000"/>
          <w:szCs w:val="28"/>
          <w:lang w:eastAsia="en-US"/>
        </w:rPr>
        <w:t xml:space="preserve"> </w:t>
      </w:r>
      <w:r>
        <w:rPr>
          <w:color w:val="000000"/>
        </w:rPr>
        <w:t>При проверке личных дел несовершеннолетних подопечных выявлены нарушени</w:t>
      </w:r>
      <w:r>
        <w:rPr>
          <w:color w:val="000000"/>
        </w:rPr>
        <w:t xml:space="preserve">я Правил ведения личных дел несовершеннолетних, утвержденных </w:t>
      </w:r>
      <w:r>
        <w:rPr>
          <w:b/>
          <w:color w:val="000000"/>
        </w:rPr>
        <w:t>постановлением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</w:t>
      </w:r>
      <w:r>
        <w:rPr>
          <w:color w:val="000000"/>
        </w:rPr>
        <w:t xml:space="preserve"> (далее – Правила), а имен</w:t>
      </w:r>
      <w:r>
        <w:rPr>
          <w:color w:val="000000"/>
        </w:rPr>
        <w:t>но:</w:t>
      </w:r>
    </w:p>
    <w:p w:rsidR="00000000" w:rsidRDefault="00197C86">
      <w:pPr>
        <w:ind w:firstLine="567"/>
        <w:jc w:val="both"/>
        <w:rPr>
          <w:color w:val="000000"/>
        </w:rPr>
      </w:pPr>
      <w:r>
        <w:rPr>
          <w:color w:val="000000"/>
        </w:rPr>
        <w:t>в нарушение пункта 2 Правил в личных делах несовершеннолетних подопечных отсутствуют медицинские документы о состоянии здоровья несовершеннолетних за 2023, 2024, 2025 годы: Ч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Д., 09.11.2018  г.р., </w:t>
      </w:r>
      <w:proofErr w:type="gramStart"/>
      <w:r>
        <w:rPr>
          <w:color w:val="000000"/>
        </w:rPr>
        <w:t>Ш</w:t>
      </w:r>
      <w:proofErr w:type="gramEnd"/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С., 13.06.2008 г.р.</w:t>
      </w:r>
    </w:p>
    <w:p w:rsidR="00000000" w:rsidRDefault="00197C86">
      <w:pPr>
        <w:ind w:firstLine="567"/>
        <w:jc w:val="both"/>
        <w:rPr>
          <w:color w:val="000000"/>
        </w:rPr>
      </w:pPr>
      <w:r>
        <w:rPr>
          <w:color w:val="000000"/>
        </w:rPr>
        <w:t>В личном деле Ч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Д., 09.11.2018 г.р. отсутствуют сведения о регистрации по месту жительства несовершеннолетнего (имеются сведения о регистрации несовершеннолетнего до 2024 года включительно).</w:t>
      </w:r>
    </w:p>
    <w:p w:rsidR="00000000" w:rsidRDefault="00197C8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 нарушение пункта 3 Правил в личных делах </w:t>
      </w:r>
      <w:proofErr w:type="gramStart"/>
      <w:r>
        <w:rPr>
          <w:color w:val="000000"/>
        </w:rPr>
        <w:t>Ш</w:t>
      </w:r>
      <w:proofErr w:type="gramEnd"/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С., 13.06.2008 г.р., Ч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Д., 09.11.2018 г.р., С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П., 19.03.2012 г.р., отсутствуют описи имущества подопечного и документы, содержащие сведения о лицах, отвечающих за его сохранность.</w:t>
      </w:r>
    </w:p>
    <w:p w:rsidR="00000000" w:rsidRDefault="00197C86">
      <w:pPr>
        <w:ind w:firstLine="567"/>
        <w:jc w:val="both"/>
        <w:rPr>
          <w:color w:val="000000"/>
        </w:rPr>
      </w:pPr>
      <w:r>
        <w:rPr>
          <w:color w:val="000000"/>
        </w:rPr>
        <w:t>В нарушение пункта 9 Правил во многих личных делах подопечных отсутствует опись документ</w:t>
      </w:r>
      <w:r>
        <w:rPr>
          <w:color w:val="000000"/>
        </w:rPr>
        <w:t>ов, содержащихся в их личных делах.</w:t>
      </w:r>
    </w:p>
    <w:p w:rsidR="00000000" w:rsidRDefault="00197C86">
      <w:pPr>
        <w:tabs>
          <w:tab w:val="left" w:pos="573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11. </w:t>
      </w:r>
      <w:proofErr w:type="gramStart"/>
      <w:r>
        <w:rPr>
          <w:color w:val="000000"/>
        </w:rPr>
        <w:t xml:space="preserve">В нарушение </w:t>
      </w:r>
      <w:r>
        <w:rPr>
          <w:b/>
          <w:bCs/>
          <w:color w:val="000000"/>
        </w:rPr>
        <w:t>пункта 5 статьи 25 Ф</w:t>
      </w:r>
      <w:r>
        <w:rPr>
          <w:b/>
          <w:color w:val="000000"/>
        </w:rPr>
        <w:t>едерального закона от 24.04.2008 № 48-ФЗ                «Об опеке и попечительстве»</w:t>
      </w:r>
      <w:r>
        <w:rPr>
          <w:color w:val="000000"/>
        </w:rPr>
        <w:t xml:space="preserve"> ежегодные отчеты опекунов о хранении, об использовании имущества подопечного и об управлении этим им</w:t>
      </w:r>
      <w:r>
        <w:rPr>
          <w:color w:val="000000"/>
        </w:rPr>
        <w:t>уществом (далее - отчет опекуна) с приложением документов (копий товарных чеков, квитанций об уплате налогов, страховых сумм и других платежных документов) хранятся отдельно от личных дел.</w:t>
      </w:r>
      <w:proofErr w:type="gramEnd"/>
    </w:p>
    <w:p w:rsidR="00000000" w:rsidRDefault="00197C8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  нарушение </w:t>
      </w:r>
      <w:r>
        <w:rPr>
          <w:b/>
          <w:bCs/>
          <w:color w:val="000000"/>
        </w:rPr>
        <w:t>пункта 3 статьи 25 Ф</w:t>
      </w:r>
      <w:r>
        <w:rPr>
          <w:b/>
          <w:color w:val="000000"/>
        </w:rPr>
        <w:t>едерального закона от 24.04.2008 №</w:t>
      </w:r>
      <w:r>
        <w:rPr>
          <w:b/>
          <w:color w:val="000000"/>
        </w:rPr>
        <w:t xml:space="preserve"> 48-ФЗ                «Об опеке и попечительстве» </w:t>
      </w:r>
      <w:r>
        <w:rPr>
          <w:color w:val="000000"/>
        </w:rPr>
        <w:t xml:space="preserve">ежегодные отчеты опекунов </w:t>
      </w:r>
      <w:proofErr w:type="gramStart"/>
      <w:r>
        <w:rPr>
          <w:color w:val="000000"/>
        </w:rPr>
        <w:t>П</w:t>
      </w:r>
      <w:proofErr w:type="gramEnd"/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С. за 2023, 2025 годы, Т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А.  за 2023, 2025 годы, К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rPr>
          <w:color w:val="000000"/>
        </w:rPr>
        <w:t xml:space="preserve"> Д. за 2025 год о хранении, об использовании имущества подопечного и об управлении этим имуществом с пр</w:t>
      </w:r>
      <w:r>
        <w:rPr>
          <w:color w:val="000000"/>
        </w:rPr>
        <w:t>иложением документов (копий товарных чеков, квитанций об уплате налогов, страховых сумм и других платежных документов) не утверждены руководителем органа опеки и попечительства.</w:t>
      </w:r>
    </w:p>
    <w:p w:rsidR="00000000" w:rsidRDefault="00197C8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12. Установлен факт нарушения </w:t>
      </w:r>
      <w:r>
        <w:rPr>
          <w:b/>
          <w:color w:val="000000"/>
        </w:rPr>
        <w:t>статьи 17 Закона Кемеровской области от 14.12.20</w:t>
      </w:r>
      <w:r>
        <w:rPr>
          <w:b/>
          <w:color w:val="000000"/>
        </w:rPr>
        <w:t>10                    № 124-ОЗ «О некоторых вопросах в сфере опеки и попечительства»</w:t>
      </w:r>
      <w:r>
        <w:rPr>
          <w:color w:val="000000"/>
        </w:rPr>
        <w:t>, а именно:</w:t>
      </w:r>
    </w:p>
    <w:p w:rsidR="00000000" w:rsidRDefault="00197C86">
      <w:pPr>
        <w:ind w:firstLine="567"/>
        <w:jc w:val="both"/>
        <w:rPr>
          <w:rFonts w:eastAsia="Calibri"/>
          <w:color w:val="000000"/>
          <w:szCs w:val="28"/>
          <w:lang w:eastAsia="en-US"/>
        </w:rPr>
      </w:pPr>
      <w:proofErr w:type="gramStart"/>
      <w:r>
        <w:rPr>
          <w:color w:val="000000"/>
        </w:rPr>
        <w:t>установлено, что приемным родителям при проведении плановой проверки условий жизни подопечного в первые три месяца после заключения договора о приемной семье не</w:t>
      </w:r>
      <w:r>
        <w:rPr>
          <w:color w:val="000000"/>
        </w:rPr>
        <w:t xml:space="preserve"> выплачивается единовременное социальное пособие в размере 20 000 рублей, хотя право на его получение возникает у приемного родителя при условии, что органом опеки и попечительства дана положительная оценка соблюдения прав и законных интересов подопечного,</w:t>
      </w:r>
      <w:r>
        <w:rPr>
          <w:color w:val="000000"/>
        </w:rPr>
        <w:t xml:space="preserve"> обеспечения сохранности его имущества</w:t>
      </w:r>
      <w:proofErr w:type="gramEnd"/>
      <w:r>
        <w:rPr>
          <w:color w:val="000000"/>
        </w:rPr>
        <w:t>, соответствия содержания, воспитания и образования подопечного требованиям законодательства.</w:t>
      </w:r>
    </w:p>
    <w:p w:rsidR="00000000" w:rsidRDefault="00197C86">
      <w:pPr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ab/>
        <w:t xml:space="preserve">Также при формировании личных дел необходимо учесть рекомендации Министерства образования и науки Кузбасса от 11.03.2020. </w:t>
      </w:r>
    </w:p>
    <w:p w:rsidR="00000000" w:rsidRDefault="00197C8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13. </w:t>
      </w:r>
      <w:proofErr w:type="gramStart"/>
      <w:r>
        <w:rPr>
          <w:rFonts w:eastAsia="Calibri"/>
          <w:szCs w:val="28"/>
          <w:lang w:eastAsia="en-US"/>
        </w:rPr>
        <w:t xml:space="preserve">Акты обследования условий жизни несовершеннолетнего гражданина и его семьи, подтверждающие факт отсутствия родительского попечения, анкеты детей №№ 1420004000095, 1420004000096, 1420004000097, 1420004000098, 142000400099, 1420004000100, 1420004000101, </w:t>
      </w:r>
      <w:r>
        <w:rPr>
          <w:rFonts w:eastAsia="Calibri"/>
          <w:szCs w:val="28"/>
          <w:lang w:eastAsia="en-US"/>
        </w:rPr>
        <w:t xml:space="preserve">1420004000102, 1420004000103, 1420004000104, 1420004000105, 1420004000132  и другие не </w:t>
      </w:r>
      <w:r>
        <w:rPr>
          <w:rFonts w:eastAsia="Calibri"/>
          <w:szCs w:val="28"/>
          <w:lang w:eastAsia="en-US"/>
        </w:rPr>
        <w:lastRenderedPageBreak/>
        <w:t>соответствуют форме, установленной приказом Министерства просвещения Российской Федерации от 10.01.2019 № 4 «О реализации отдельных вопросов осуществления опеки и попечи</w:t>
      </w:r>
      <w:r>
        <w:rPr>
          <w:rFonts w:eastAsia="Calibri"/>
          <w:szCs w:val="28"/>
          <w:lang w:eastAsia="en-US"/>
        </w:rPr>
        <w:t>тельства в отношении несовершеннолетних граждан».</w:t>
      </w:r>
      <w:proofErr w:type="gramEnd"/>
    </w:p>
    <w:p w:rsidR="00000000" w:rsidRDefault="00197C8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14. Нарушен пункт 54 Порядка формирования, ведения и использования государственного </w:t>
      </w:r>
      <w:proofErr w:type="gramStart"/>
      <w:r>
        <w:rPr>
          <w:rFonts w:eastAsia="Calibri"/>
          <w:szCs w:val="28"/>
          <w:lang w:eastAsia="en-US"/>
        </w:rPr>
        <w:t>банка</w:t>
      </w:r>
      <w:proofErr w:type="gramEnd"/>
      <w:r>
        <w:rPr>
          <w:rFonts w:eastAsia="Calibri"/>
          <w:szCs w:val="28"/>
          <w:lang w:eastAsia="en-US"/>
        </w:rPr>
        <w:t xml:space="preserve"> данных о детях, оставшихся без попечения родителей, утвержденного Приказом Министерства просвещения Российской Федер</w:t>
      </w:r>
      <w:r>
        <w:rPr>
          <w:rFonts w:eastAsia="Calibri"/>
          <w:szCs w:val="28"/>
          <w:lang w:eastAsia="en-US"/>
        </w:rPr>
        <w:t>ации от 03.07.2024 № 461 (далее - Порядок), согласно которому орган опеки и попечительства в случае изменения формы семейного устройства в течение трех рабочих дней актуализирует информацию об этом в государственном банке данных о детях (анкета № 142000400</w:t>
      </w:r>
      <w:r>
        <w:rPr>
          <w:rFonts w:eastAsia="Calibri"/>
          <w:szCs w:val="28"/>
          <w:lang w:eastAsia="en-US"/>
        </w:rPr>
        <w:t>0111).</w:t>
      </w:r>
    </w:p>
    <w:p w:rsidR="00000000" w:rsidRDefault="00197C86">
      <w:pPr>
        <w:ind w:firstLine="709"/>
        <w:jc w:val="both"/>
      </w:pPr>
      <w:r>
        <w:rPr>
          <w:rFonts w:eastAsia="Calibri"/>
          <w:szCs w:val="28"/>
          <w:lang w:eastAsia="en-US"/>
        </w:rPr>
        <w:t>15. Не всегда заполняется раздел «Защита прав ребенка», в части внесения сведений в анкеты детей о постановке на учет на обеспечение жильем (анкеты №№ 1420004000083,  1420004000102).</w:t>
      </w:r>
    </w:p>
    <w:p w:rsidR="00000000" w:rsidRDefault="00197C86">
      <w:pPr>
        <w:pStyle w:val="Standard1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</w:t>
      </w:r>
      <w:proofErr w:type="gramStart"/>
      <w:r>
        <w:rPr>
          <w:rFonts w:ascii="Times New Roman" w:eastAsia="Times New Roman" w:hAnsi="Times New Roman" w:cs="Times New Roman"/>
          <w:sz w:val="24"/>
        </w:rPr>
        <w:t>В бумажном варианте списка детей-сирот, подлежащих обеспечению</w:t>
      </w:r>
      <w:r>
        <w:rPr>
          <w:rFonts w:ascii="Times New Roman" w:eastAsia="Times New Roman" w:hAnsi="Times New Roman" w:cs="Times New Roman"/>
          <w:sz w:val="24"/>
        </w:rPr>
        <w:t xml:space="preserve"> жилыми помещениями на территории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Калтанского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городского округа, сведения содержатся не в соответствии с пунктом 16 Порядка формирования списка детей-сирот и детей, оставшихся без попечения родителей, лиц из числа детей-сирот и детей, оставшихся без попече</w:t>
      </w:r>
      <w:r>
        <w:rPr>
          <w:rFonts w:ascii="Times New Roman" w:eastAsia="Times New Roman" w:hAnsi="Times New Roman" w:cs="Times New Roman"/>
          <w:sz w:val="24"/>
        </w:rPr>
        <w:t>ния родителей, лиц, которые относились к категории детей-сирот и детей, оставшихся без попечения родителей, лиц из числа детей-сирот и детей</w:t>
      </w:r>
      <w:proofErr w:type="gramEnd"/>
      <w:r>
        <w:rPr>
          <w:rFonts w:ascii="Times New Roman" w:eastAsia="Times New Roman" w:hAnsi="Times New Roman" w:cs="Times New Roman"/>
          <w:sz w:val="24"/>
        </w:rPr>
        <w:t>, оставшихся без попечения родителей, и достигли возраста 23 лет (далее – дети-сироты), которые подлежат обеспечению</w:t>
      </w:r>
      <w:r>
        <w:rPr>
          <w:rFonts w:ascii="Times New Roman" w:eastAsia="Times New Roman" w:hAnsi="Times New Roman" w:cs="Times New Roman"/>
          <w:sz w:val="24"/>
        </w:rPr>
        <w:t xml:space="preserve"> жилыми помещениями, утвержденного постановлением Правительства РФ от 04.04.2019 № 397.</w:t>
      </w:r>
    </w:p>
    <w:p w:rsidR="00000000" w:rsidRDefault="00197C86">
      <w:pPr>
        <w:pStyle w:val="Standard1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sz w:val="24"/>
        </w:rPr>
        <w:t>В нарушение пункта 6 Порядка осуществления контроля за использованием и сохранностью жилых помещений специализированного жилищного фонда детьми-сиротами и детьми, о</w:t>
      </w:r>
      <w:r>
        <w:rPr>
          <w:rFonts w:ascii="Times New Roman" w:eastAsia="Times New Roman" w:hAnsi="Times New Roman" w:cs="Times New Roman"/>
          <w:sz w:val="24"/>
        </w:rPr>
        <w:t>ставшимися без попечения родителей, лицами из числа детей-сирот и детей, оставшихся без попечения родителей, которые достигли возраста 23 лет, по договорам найма специализированного жилого помещения, обеспечением их надлежащего санитарного и технического с</w:t>
      </w:r>
      <w:r>
        <w:rPr>
          <w:rFonts w:ascii="Times New Roman" w:eastAsia="Times New Roman" w:hAnsi="Times New Roman" w:cs="Times New Roman"/>
          <w:sz w:val="24"/>
        </w:rPr>
        <w:t>остояния (далее – Порядок осуществления контроля за использованием и сохранностью жилых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помещений специализированного жилищного фонда детьми-сиротами), утвержденного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Калтанского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городского округа от 19.05.2023 № 153-п «Об утвер</w:t>
      </w:r>
      <w:r>
        <w:rPr>
          <w:rFonts w:ascii="Times New Roman" w:eastAsia="Times New Roman" w:hAnsi="Times New Roman" w:cs="Times New Roman"/>
          <w:sz w:val="24"/>
        </w:rPr>
        <w:t>ждении порядка осуществления контроля за использованием и сохранностью жилых помещений специализированного жилищного фонда детьми-сиротами и детьми, оставшимися без попечения родителей, лицами из числа детей-сирот и детей, оставшихся без попечения родителе</w:t>
      </w:r>
      <w:r>
        <w:rPr>
          <w:rFonts w:ascii="Times New Roman" w:eastAsia="Times New Roman" w:hAnsi="Times New Roman" w:cs="Times New Roman"/>
          <w:sz w:val="24"/>
        </w:rPr>
        <w:t>й, которые достигли возраста 23 лет, по договорам найма специализированного жилого помещения, обеспечением их надлежащего санитарного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технического состояния», отсутствует утвержденный план проведения плановых проверок жилых помещений, предоставленных дет</w:t>
      </w:r>
      <w:r>
        <w:rPr>
          <w:rFonts w:ascii="Times New Roman" w:eastAsia="Times New Roman" w:hAnsi="Times New Roman" w:cs="Times New Roman"/>
          <w:sz w:val="24"/>
        </w:rPr>
        <w:t>ям-сиротам по договорам найма специализированного жилого помещения.</w:t>
      </w:r>
    </w:p>
    <w:p w:rsidR="00000000" w:rsidRDefault="00197C86">
      <w:pPr>
        <w:pStyle w:val="Standard1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Акты проверки специализированного жилого помещения (далее – Акты) соответствуют приложению к Порядку осуществления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использованием и сохранностью жилых помещений специализир</w:t>
      </w:r>
      <w:r>
        <w:rPr>
          <w:rFonts w:ascii="Times New Roman" w:eastAsia="Times New Roman" w:hAnsi="Times New Roman" w:cs="Times New Roman"/>
          <w:sz w:val="24"/>
        </w:rPr>
        <w:t>ованного жилищного фонда детьми-сиротами, однако Акты за 2023-2025 годы носят формальный характер, одинаковые.</w:t>
      </w:r>
    </w:p>
    <w:p w:rsidR="00000000" w:rsidRDefault="00197C86">
      <w:pPr>
        <w:pStyle w:val="Standard1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</w:t>
      </w:r>
      <w:proofErr w:type="gramStart"/>
      <w:r>
        <w:rPr>
          <w:rFonts w:ascii="Times New Roman" w:eastAsia="Times New Roman" w:hAnsi="Times New Roman" w:cs="Times New Roman"/>
          <w:sz w:val="24"/>
        </w:rPr>
        <w:t>Начальник отдела по юридическим вопросам МКУ УМИ КГО не входит в состав комиссии по осуществлению контроля за использованием и сохранностью ж</w:t>
      </w:r>
      <w:r>
        <w:rPr>
          <w:rFonts w:ascii="Times New Roman" w:eastAsia="Times New Roman" w:hAnsi="Times New Roman" w:cs="Times New Roman"/>
          <w:sz w:val="24"/>
        </w:rPr>
        <w:t>илых помещений специализированного жилищного фонда детьми-сиротами и детьми, оставшимися без попечения родителей, лицами из числа детей-сирот и детей, оставшихся без попечения родителей, которые достигли возраста 23 лет, по договорам найма специализированн</w:t>
      </w:r>
      <w:r>
        <w:rPr>
          <w:rFonts w:ascii="Times New Roman" w:eastAsia="Times New Roman" w:hAnsi="Times New Roman" w:cs="Times New Roman"/>
          <w:sz w:val="24"/>
        </w:rPr>
        <w:t>ого жилого помещения, обеспечением их надлежащего санитарного и технического состояния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утвержденный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Калтанского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городского округа от 09.04.2026            № 103-п «О создании Комиссии по осуществлению контроля за использование</w:t>
      </w:r>
      <w:r>
        <w:rPr>
          <w:rFonts w:ascii="Times New Roman" w:eastAsia="Times New Roman" w:hAnsi="Times New Roman" w:cs="Times New Roman"/>
          <w:sz w:val="24"/>
        </w:rPr>
        <w:t>м и сохранностью жилых помещений специализированного жилищного фонда детьми-сиротами и детьми, оставшимися без попечения родителей, лицами из числа детей-сирот и детей, оставшихся без попечения родителей, которые достигли возраста 23 лет, по договорам найм</w:t>
      </w:r>
      <w:r>
        <w:rPr>
          <w:rFonts w:ascii="Times New Roman" w:eastAsia="Times New Roman" w:hAnsi="Times New Roman" w:cs="Times New Roman"/>
          <w:sz w:val="24"/>
        </w:rPr>
        <w:t xml:space="preserve">а специализированного жилого помещения, обеспечением их надлежащего санитарного и </w:t>
      </w:r>
      <w:r>
        <w:rPr>
          <w:rFonts w:ascii="Times New Roman" w:eastAsia="Times New Roman" w:hAnsi="Times New Roman" w:cs="Times New Roman"/>
          <w:sz w:val="24"/>
        </w:rPr>
        <w:lastRenderedPageBreak/>
        <w:t>технического состояния», однако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присутствует на осмотрах жилых помещений и подписывает акты проверки специализированного жилого помещения.</w:t>
      </w:r>
    </w:p>
    <w:p w:rsidR="00000000" w:rsidRDefault="00197C86">
      <w:pPr>
        <w:pStyle w:val="Standard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20. </w:t>
      </w:r>
      <w:proofErr w:type="gramStart"/>
      <w:r>
        <w:rPr>
          <w:rFonts w:ascii="Times New Roman" w:eastAsia="Times New Roman" w:hAnsi="Times New Roman" w:cs="Times New Roman"/>
          <w:sz w:val="24"/>
        </w:rPr>
        <w:t>В порядке выявления обстоятель</w:t>
      </w:r>
      <w:r>
        <w:rPr>
          <w:rFonts w:ascii="Times New Roman" w:eastAsia="Times New Roman" w:hAnsi="Times New Roman" w:cs="Times New Roman"/>
          <w:sz w:val="24"/>
        </w:rPr>
        <w:t xml:space="preserve">ств, свидетельствующих о необходимости оказания нанимателю специализированного жилого помещения содействия в преодолении трудной жизненной ситуации, утвержденного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Калтанского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городского округа от 13.11.2024 № 282-п «Об утвержде</w:t>
      </w:r>
      <w:r>
        <w:rPr>
          <w:rFonts w:ascii="Times New Roman" w:eastAsia="Times New Roman" w:hAnsi="Times New Roman" w:cs="Times New Roman"/>
          <w:sz w:val="24"/>
        </w:rPr>
        <w:t>нии порядка выявления обстоятельств, свидетельствующих о необходимости оказания нанимателю специализированного жилого помещения содействия в преодолении трудной жизненной ситуации, и утверждении комиссии по выявлению обстоятельств, свидетельствующих о необ</w:t>
      </w:r>
      <w:r>
        <w:rPr>
          <w:rFonts w:ascii="Times New Roman" w:eastAsia="Times New Roman" w:hAnsi="Times New Roman" w:cs="Times New Roman"/>
          <w:sz w:val="24"/>
        </w:rPr>
        <w:t>ходимости оказания нанимателю специализированного жилого помещения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содействия в преодолении трудной жизненной ситуации» (далее – Порядок выявления трудной жизненной ситуации), не предусмотрено заключение о наличии или отсутствии обстоятельств, свидетельств</w:t>
      </w:r>
      <w:r>
        <w:rPr>
          <w:rFonts w:ascii="Times New Roman" w:eastAsia="Times New Roman" w:hAnsi="Times New Roman" w:cs="Times New Roman"/>
          <w:sz w:val="24"/>
        </w:rPr>
        <w:t xml:space="preserve">ующих о необходимости оказания нанимателю содействия в преодолении трудной жизненной ситуации в случае </w:t>
      </w:r>
      <w:proofErr w:type="gramStart"/>
      <w:r>
        <w:rPr>
          <w:rFonts w:ascii="Times New Roman" w:eastAsia="Times New Roman" w:hAnsi="Times New Roman" w:cs="Times New Roman"/>
          <w:sz w:val="24"/>
        </w:rPr>
        <w:t>сокращения срока договора найма специализированного жилого помещения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000000" w:rsidRDefault="00197C86">
      <w:pPr>
        <w:pStyle w:val="Standar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21. </w:t>
      </w:r>
      <w:proofErr w:type="gramStart"/>
      <w:r>
        <w:rPr>
          <w:rFonts w:ascii="Times New Roman" w:eastAsia="Times New Roman" w:hAnsi="Times New Roman" w:cs="Times New Roman"/>
          <w:sz w:val="24"/>
        </w:rPr>
        <w:t>Форма акта комплексной оценки жилищно-бытовых условий нанимателя специализиров</w:t>
      </w:r>
      <w:r>
        <w:rPr>
          <w:rFonts w:ascii="Times New Roman" w:eastAsia="Times New Roman" w:hAnsi="Times New Roman" w:cs="Times New Roman"/>
          <w:sz w:val="24"/>
        </w:rPr>
        <w:t xml:space="preserve">анного жилого помещения о наличии (отсутствии) обстоятельств, свидетельствующих о необходимости оказания содействия в преодолении трудной жизненной ситуации, утверждена постановлением Кемеровской области – Кузбасса от 03.10.2019 № 568 «Об обеспечении прав </w:t>
      </w:r>
      <w:r>
        <w:rPr>
          <w:rFonts w:ascii="Times New Roman" w:eastAsia="Times New Roman" w:hAnsi="Times New Roman" w:cs="Times New Roman"/>
          <w:sz w:val="24"/>
        </w:rPr>
        <w:t>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оставшихся без попечения родителей, лиц из числа детей-сирот и детей, ос</w:t>
      </w:r>
      <w:r>
        <w:rPr>
          <w:rFonts w:ascii="Times New Roman" w:eastAsia="Times New Roman" w:hAnsi="Times New Roman" w:cs="Times New Roman"/>
          <w:sz w:val="24"/>
        </w:rPr>
        <w:t xml:space="preserve">тавшихся без попечения родителей, и достигли возраста 23 лет, которые подлежат обеспечению жилыми помещениями, на жилые помещения» и не требует утверждения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</w:rPr>
        <w:t>Калтанского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городского округа от 13.11.2024 № 282-п «Об утверждении пор</w:t>
      </w:r>
      <w:r>
        <w:rPr>
          <w:rFonts w:ascii="Times New Roman" w:eastAsia="Times New Roman" w:hAnsi="Times New Roman" w:cs="Times New Roman"/>
          <w:sz w:val="24"/>
        </w:rPr>
        <w:t>ядка выявления обстоятельств, свидетельствующих о необходимости оказания нанимателю специализированного жилого помещения содействия в преодолении трудной жизненной ситуации, и утверждении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комиссии по выявлению обстоятельств, свидетельствующих о необходимос</w:t>
      </w:r>
      <w:r>
        <w:rPr>
          <w:rFonts w:ascii="Times New Roman" w:eastAsia="Times New Roman" w:hAnsi="Times New Roman" w:cs="Times New Roman"/>
          <w:sz w:val="24"/>
        </w:rPr>
        <w:t>ти оказания нанимателю специализированного жилого помещения содействия в преодолении трудной жизненной ситуации».</w:t>
      </w:r>
    </w:p>
    <w:p w:rsidR="00000000" w:rsidRDefault="00197C86">
      <w:pPr>
        <w:pStyle w:val="BodyTextFirstIndent"/>
      </w:pPr>
      <w:r>
        <w:t xml:space="preserve">22. </w:t>
      </w:r>
      <w:proofErr w:type="gramStart"/>
      <w:r>
        <w:t xml:space="preserve">Согласно пункту 6 типового </w:t>
      </w:r>
      <w:r>
        <w:rPr>
          <w:color w:val="000000"/>
        </w:rPr>
        <w:t>договора</w:t>
      </w:r>
      <w:r>
        <w:t xml:space="preserve"> найма жилого помещения для детей-сирот и детей, оставшихся без попечения родителей, лиц из числа детей</w:t>
      </w:r>
      <w:r>
        <w:t>-сирот и детей, оставшихся без попечения родителей, утвержденного постановлением Правительства Российской Федерации от 28.06.2013 № 548 «Об утверждении типового договора найма жилого помещения для детей-сирот и детей, оставшихся без попечения родителей, ли</w:t>
      </w:r>
      <w:r>
        <w:t>ц из числа детей-сирот и детей, оставшихся без попечения родителей» (далее</w:t>
      </w:r>
      <w:proofErr w:type="gramEnd"/>
      <w:r>
        <w:t xml:space="preserve"> — типовой договор), по окончании срока настоящего договора при наличии обстоятельств, свидетельствующих о необходимости оказания нанимателю содействия в преодолении трудной жизненно</w:t>
      </w:r>
      <w:r>
        <w:t xml:space="preserve">й ситуации, договор найма специализированного жилого помещения может быть заключен с нанимателем </w:t>
      </w:r>
      <w:r>
        <w:rPr>
          <w:b/>
          <w:bCs/>
        </w:rPr>
        <w:t>неоднократно</w:t>
      </w:r>
      <w:r>
        <w:t xml:space="preserve"> на новый 5-летний срок.</w:t>
      </w:r>
    </w:p>
    <w:p w:rsidR="00000000" w:rsidRDefault="00197C86">
      <w:pPr>
        <w:pStyle w:val="BodyTextFirstIndent"/>
      </w:pPr>
      <w:proofErr w:type="gramStart"/>
      <w:r>
        <w:t xml:space="preserve">Согласно подпункту 1 пункта 17 типового договора расторжение  договора по требованию </w:t>
      </w:r>
      <w:proofErr w:type="spellStart"/>
      <w:r>
        <w:t>наймодателя</w:t>
      </w:r>
      <w:proofErr w:type="spellEnd"/>
      <w:r>
        <w:t xml:space="preserve"> допускается в судебном по</w:t>
      </w:r>
      <w:r>
        <w:t xml:space="preserve">рядке при неисполнении нанимателем и членами его семьи обязательств по настоящему договору, а также в случае невнесения нанимателем платы за жилое помещение и (или) коммунальные услуги </w:t>
      </w:r>
      <w:r>
        <w:rPr>
          <w:b/>
          <w:bCs/>
        </w:rPr>
        <w:t>в течение более одного года</w:t>
      </w:r>
      <w:r>
        <w:t xml:space="preserve"> и отсутствия соглашения по погашению образо</w:t>
      </w:r>
      <w:r>
        <w:t>вавшейся задолженности по оплате жилого помещения и (или) коммунальных</w:t>
      </w:r>
      <w:proofErr w:type="gramEnd"/>
      <w:r>
        <w:t xml:space="preserve"> услуг.</w:t>
      </w:r>
    </w:p>
    <w:p w:rsidR="00000000" w:rsidRDefault="00197C86">
      <w:pPr>
        <w:pStyle w:val="BodyTextFirstIndent"/>
      </w:pPr>
      <w:proofErr w:type="gramStart"/>
      <w:r>
        <w:t>Согласно пункту 17 типового договора по истечении срока действия настоящего договора наниматель и члены его семьи не подлежат выселению из жилого помещения, в отношении занимаемо</w:t>
      </w:r>
      <w:r>
        <w:t xml:space="preserve">го жилого помещения с нанимателем заключается договор социального найма либо в соответствии с </w:t>
      </w:r>
      <w:r>
        <w:rPr>
          <w:color w:val="000000"/>
        </w:rPr>
        <w:t>пунктом 6 статьи 8</w:t>
      </w:r>
      <w:r>
        <w:t xml:space="preserve"> Федерального закона «О дополнительных гарантиях по социальной поддержке детей-сирот и детей, оставшихся без попечения родителей» </w:t>
      </w:r>
      <w:r>
        <w:rPr>
          <w:b/>
          <w:bCs/>
        </w:rPr>
        <w:t>неоднократно</w:t>
      </w:r>
      <w:r>
        <w:t xml:space="preserve"> д</w:t>
      </w:r>
      <w:r>
        <w:t>оговор найма специализированного</w:t>
      </w:r>
      <w:proofErr w:type="gramEnd"/>
      <w:r>
        <w:t xml:space="preserve"> жилого помещения на новый  5-летний срок.</w:t>
      </w:r>
    </w:p>
    <w:p w:rsidR="00000000" w:rsidRDefault="00197C86">
      <w:pPr>
        <w:pStyle w:val="BodyTextFirstIndent"/>
      </w:pPr>
      <w:r>
        <w:lastRenderedPageBreak/>
        <w:t>При проверке было установлено:</w:t>
      </w:r>
    </w:p>
    <w:p w:rsidR="00000000" w:rsidRDefault="00197C86">
      <w:pPr>
        <w:pStyle w:val="BodyTextFirstIndent"/>
      </w:pPr>
      <w:r>
        <w:t xml:space="preserve">1) В договоре № 145 с </w:t>
      </w:r>
      <w:proofErr w:type="gramStart"/>
      <w:r>
        <w:t>Ш</w:t>
      </w:r>
      <w:proofErr w:type="gramEnd"/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Р.С., в договоре № 144 с Ш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В.В. пункты 17 и 18 договоров не соответствуют типовому договору.</w:t>
      </w:r>
    </w:p>
    <w:p w:rsidR="00000000" w:rsidRDefault="00197C86">
      <w:pPr>
        <w:pStyle w:val="BodyTextFirstIndent"/>
      </w:pPr>
      <w:r>
        <w:t>2) В договоре № 2</w:t>
      </w:r>
      <w:r>
        <w:t>18 с</w:t>
      </w:r>
      <w:proofErr w:type="gramStart"/>
      <w:r>
        <w:t xml:space="preserve"> </w:t>
      </w:r>
      <w:proofErr w:type="spellStart"/>
      <w:r>
        <w:t>С</w:t>
      </w:r>
      <w:proofErr w:type="spellEnd"/>
      <w:proofErr w:type="gramEnd"/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М.А., в договоре № 221 с Б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Д.В., в договоре № 223 с И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А.В., в договоре № 222 с Г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А.А. пункты 17 договоров не соответствуют типовому договору.</w:t>
      </w:r>
    </w:p>
    <w:p w:rsidR="00000000" w:rsidRDefault="00197C86">
      <w:pPr>
        <w:pStyle w:val="BodyTextFirstIndent"/>
      </w:pPr>
      <w:r>
        <w:t xml:space="preserve">3) В договоре № 169 с </w:t>
      </w:r>
      <w:proofErr w:type="spellStart"/>
      <w:r>
        <w:t>С</w:t>
      </w:r>
      <w:proofErr w:type="spellEnd"/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В.Е., в договоре № 171 с И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Е.С., в договоре  </w:t>
      </w:r>
      <w:r>
        <w:t xml:space="preserve">            № 164 с П</w:t>
      </w:r>
      <w:r w:rsidR="00E6062D">
        <w:rPr>
          <w:rFonts w:eastAsia="Calibri"/>
          <w:color w:val="000000"/>
          <w:szCs w:val="28"/>
          <w:lang w:val="en-US" w:eastAsia="en-US"/>
        </w:rPr>
        <w:t>#######</w:t>
      </w:r>
      <w:r>
        <w:t xml:space="preserve"> О.С. пункты 6, 17 и 18 договоров не соответствуют типовому договору.</w:t>
      </w:r>
    </w:p>
    <w:p w:rsidR="00000000" w:rsidRDefault="00197C86">
      <w:pPr>
        <w:pStyle w:val="BodyTextFirstIndent"/>
      </w:pPr>
      <w:r>
        <w:t xml:space="preserve">23. </w:t>
      </w:r>
      <w:proofErr w:type="gramStart"/>
      <w:r>
        <w:t xml:space="preserve">В преамбуле распоряжения администрации </w:t>
      </w:r>
      <w:proofErr w:type="spellStart"/>
      <w:r>
        <w:t>Калтанского</w:t>
      </w:r>
      <w:proofErr w:type="spellEnd"/>
      <w:r>
        <w:t xml:space="preserve"> городского округа от 25.04.2013 № 743-р «Об утверждении органов, ответственных за формирование….» ука</w:t>
      </w:r>
      <w:r>
        <w:t>зана ссылка на недействующее постановление Коллегии Администрации Кемеровской области              № 132 от 29.03.2013 «О некоторых вопросах в сфере обеспечения прав детей-сирот и детей, оставшихся без попечения родителей, лиц из числа детей-сирот и детей,</w:t>
      </w:r>
      <w:r>
        <w:t xml:space="preserve"> оставшихся без попечения родителей, на жилые помещения». </w:t>
      </w:r>
      <w:proofErr w:type="gramEnd"/>
    </w:p>
    <w:p w:rsidR="00000000" w:rsidRDefault="00197C86">
      <w:pPr>
        <w:pStyle w:val="BodyTextFirstIndent"/>
      </w:pPr>
      <w:proofErr w:type="gramStart"/>
      <w:r>
        <w:t xml:space="preserve">В настоящее время данные правоотношения регулирует постановление Правительства Кемеровской области - Кузбасса от 03.10.2019 № 568 «Об обеспечении прав детей-сирот и детей, оставшихся без попечения </w:t>
      </w:r>
      <w:r>
        <w:t>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</w:t>
      </w:r>
      <w:r>
        <w:t>озраста 23</w:t>
      </w:r>
      <w:proofErr w:type="gramEnd"/>
      <w:r>
        <w:t xml:space="preserve"> лет, которые подлежат обеспечению жилыми помещениями, на жилые помещения».</w:t>
      </w:r>
    </w:p>
    <w:p w:rsidR="00000000" w:rsidRDefault="00197C86">
      <w:pPr>
        <w:pStyle w:val="BodyTextFirstIndent"/>
      </w:pPr>
      <w:r>
        <w:t>24. В должностной инструкции от 02.02.2026 начальника отдела по учету и распределению жилья и в положении об отделе по учету и распределению жилья МКУ «УМИ КГО» не предус</w:t>
      </w:r>
      <w:r>
        <w:t>мотрено установленных действующим законодательством функций по фактически исполняемым действиям по обеспечению детей-сирот и лиц из их числа жилыми помещениями.</w:t>
      </w:r>
    </w:p>
    <w:p w:rsidR="00197C86" w:rsidRDefault="00197C86">
      <w:pPr>
        <w:pStyle w:val="BodyTextFirstIndent"/>
        <w:rPr>
          <w:sz w:val="20"/>
          <w:szCs w:val="20"/>
        </w:rPr>
      </w:pPr>
      <w:r>
        <w:t>25</w:t>
      </w:r>
      <w:r>
        <w:t xml:space="preserve">. </w:t>
      </w:r>
      <w:proofErr w:type="gramStart"/>
      <w:r>
        <w:t xml:space="preserve">Постановление Администрации </w:t>
      </w:r>
      <w:proofErr w:type="spellStart"/>
      <w:r>
        <w:t>Калтанского</w:t>
      </w:r>
      <w:proofErr w:type="spellEnd"/>
      <w:r>
        <w:t xml:space="preserve"> городского округа от 09.04.2026               № 106</w:t>
      </w:r>
      <w:r>
        <w:t>-п «Об утверждении порядка формирования списка….» имеет избыточное правовое регулирование, поскольку правоотношения по формированию списка детей-сирот и детей, оставшихся без попечения родителей, лиц из числа детей-сирот и детей, оставшихся без попечения р</w:t>
      </w:r>
      <w:r>
        <w:t>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>
        <w:t xml:space="preserve"> </w:t>
      </w:r>
      <w:proofErr w:type="gramStart"/>
      <w:r>
        <w:t>родителей, и достигли возраста 23 лет, которые подлежат обеспечению жилыми помещениями, исключ</w:t>
      </w:r>
      <w:r>
        <w:t>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</w:t>
      </w:r>
      <w:r>
        <w:t>кой Федерации по новому месту жительства установлены постановлением Правительства Российской Федерации от 04.04.2019</w:t>
      </w:r>
      <w:proofErr w:type="gramEnd"/>
      <w:r>
        <w:t xml:space="preserve"> № </w:t>
      </w:r>
      <w:proofErr w:type="gramStart"/>
      <w:r>
        <w:t>397 «О формировании списка детей-сирот и детей, оставшихся без попечения родителей, лиц из числа детей-сирот и детей, оставшихся без попе</w:t>
      </w:r>
      <w:r>
        <w:t>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</w:t>
      </w:r>
      <w:r>
        <w:t xml:space="preserve"> исключении детей-сирот и детей, оставшихся без попечения</w:t>
      </w:r>
      <w:proofErr w:type="gramEnd"/>
      <w:r>
        <w:t xml:space="preserve">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</w:t>
      </w:r>
      <w:r>
        <w:t xml:space="preserve">федерации по новому месту жительства». </w:t>
      </w:r>
    </w:p>
    <w:sectPr w:rsidR="00197C86">
      <w:headerReference w:type="default" r:id="rId7"/>
      <w:headerReference w:type="first" r:id="rId8"/>
      <w:pgSz w:w="11906" w:h="16838"/>
      <w:pgMar w:top="1134" w:right="851" w:bottom="1134" w:left="1134" w:header="397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86" w:rsidRDefault="00197C86" w:rsidP="00CE5DFF">
      <w:r>
        <w:separator/>
      </w:r>
    </w:p>
  </w:endnote>
  <w:endnote w:type="continuationSeparator" w:id="0">
    <w:p w:rsidR="00197C86" w:rsidRDefault="00197C86" w:rsidP="00CE5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86" w:rsidRDefault="00197C86" w:rsidP="00CE5DFF">
      <w:r>
        <w:separator/>
      </w:r>
    </w:p>
  </w:footnote>
  <w:footnote w:type="continuationSeparator" w:id="0">
    <w:p w:rsidR="00197C86" w:rsidRDefault="00197C86" w:rsidP="00CE5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7C86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E6062D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7C8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5F56"/>
    <w:rsid w:val="00197C86"/>
    <w:rsid w:val="00915F56"/>
    <w:rsid w:val="00E6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cs="Times New Roman"/>
      <w:b w:val="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eastAsia="Calibri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cs="Times New Roman"/>
      <w:sz w:val="24"/>
      <w:szCs w:val="24"/>
    </w:rPr>
  </w:style>
  <w:style w:type="character" w:customStyle="1" w:styleId="a4">
    <w:name w:val="Нижний колонтитул Знак"/>
    <w:rPr>
      <w:rFonts w:cs="Times New Roman"/>
      <w:sz w:val="24"/>
      <w:szCs w:val="24"/>
    </w:rPr>
  </w:style>
  <w:style w:type="character" w:styleId="a5">
    <w:name w:val="page number"/>
    <w:rPr>
      <w:rFonts w:cs="Times New Roma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rPr>
      <w:rFonts w:cs="Times New Roman"/>
      <w:sz w:val="20"/>
      <w:szCs w:val="20"/>
    </w:rPr>
  </w:style>
  <w:style w:type="character" w:customStyle="1" w:styleId="a8">
    <w:name w:val="Текст Знак"/>
    <w:rPr>
      <w:rFonts w:ascii="Courier New" w:hAnsi="Courier New" w:cs="Courier New"/>
      <w:sz w:val="20"/>
      <w:szCs w:val="20"/>
    </w:rPr>
  </w:style>
  <w:style w:type="character" w:styleId="a9">
    <w:name w:val="Hyperlink"/>
    <w:rPr>
      <w:rFonts w:cs="Times New Roman"/>
      <w:color w:val="0000FF"/>
      <w:u w:val="single"/>
    </w:rPr>
  </w:style>
  <w:style w:type="character" w:customStyle="1" w:styleId="10">
    <w:name w:val="Знак Знак1"/>
    <w:rPr>
      <w:rFonts w:cs="Times New Roman"/>
      <w:sz w:val="24"/>
      <w:szCs w:val="24"/>
      <w:lang w:val="ru-RU" w:bidi="ar-SA"/>
    </w:rPr>
  </w:style>
  <w:style w:type="character" w:customStyle="1" w:styleId="11">
    <w:name w:val="Знак Знак11"/>
    <w:rPr>
      <w:rFonts w:cs="Times New Roman"/>
      <w:sz w:val="24"/>
    </w:rPr>
  </w:style>
  <w:style w:type="character" w:customStyle="1" w:styleId="12">
    <w:name w:val="Знак Знак12"/>
    <w:rPr>
      <w:rFonts w:cs="Times New Roman"/>
      <w:sz w:val="24"/>
    </w:rPr>
  </w:style>
  <w:style w:type="character" w:customStyle="1" w:styleId="21">
    <w:name w:val="Основной текст с отступом 2 Знак"/>
    <w:rPr>
      <w:rFonts w:cs="Times New Roman"/>
      <w:sz w:val="24"/>
      <w:szCs w:val="24"/>
    </w:rPr>
  </w:style>
  <w:style w:type="character" w:customStyle="1" w:styleId="13">
    <w:name w:val="Знак Знак13"/>
    <w:rPr>
      <w:rFonts w:cs="Times New Roman"/>
      <w:sz w:val="24"/>
    </w:rPr>
  </w:style>
  <w:style w:type="character" w:customStyle="1" w:styleId="s1">
    <w:name w:val="s1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s2">
    <w:name w:val="s2"/>
    <w:rPr>
      <w:rFonts w:cs="Times New Roman"/>
    </w:rPr>
  </w:style>
  <w:style w:type="character" w:customStyle="1" w:styleId="s3">
    <w:name w:val="s3"/>
    <w:rPr>
      <w:rFonts w:cs="Times New Roman"/>
    </w:rPr>
  </w:style>
  <w:style w:type="character" w:customStyle="1" w:styleId="s4">
    <w:name w:val="s4"/>
    <w:rPr>
      <w:rFonts w:cs="Times New Roman"/>
    </w:rPr>
  </w:style>
  <w:style w:type="character" w:customStyle="1" w:styleId="s5">
    <w:name w:val="s5"/>
    <w:rPr>
      <w:rFonts w:cs="Times New Roman"/>
    </w:rPr>
  </w:style>
  <w:style w:type="character" w:customStyle="1" w:styleId="s6">
    <w:name w:val="s6"/>
    <w:rPr>
      <w:rFonts w:cs="Times New Roman"/>
    </w:rPr>
  </w:style>
  <w:style w:type="character" w:customStyle="1" w:styleId="s7">
    <w:name w:val="s7"/>
    <w:rPr>
      <w:rFonts w:cs="Times New Roman"/>
    </w:rPr>
  </w:style>
  <w:style w:type="character" w:customStyle="1" w:styleId="s8">
    <w:name w:val="s8"/>
    <w:rPr>
      <w:rFonts w:cs="Times New Roman"/>
    </w:rPr>
  </w:style>
  <w:style w:type="character" w:customStyle="1" w:styleId="s9">
    <w:name w:val="s9"/>
    <w:rPr>
      <w:rFonts w:cs="Times New Roman"/>
    </w:rPr>
  </w:style>
  <w:style w:type="character" w:customStyle="1" w:styleId="s11">
    <w:name w:val="s11"/>
    <w:rPr>
      <w:rFonts w:cs="Times New Roman"/>
    </w:rPr>
  </w:style>
  <w:style w:type="character" w:customStyle="1" w:styleId="s13">
    <w:name w:val="s13"/>
    <w:rPr>
      <w:rFonts w:cs="Times New Roman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styleId="aa">
    <w:name w:val="Strong"/>
    <w:qFormat/>
    <w:rPr>
      <w:rFonts w:cs="Times New Roman"/>
      <w:b/>
      <w:bCs/>
    </w:rPr>
  </w:style>
  <w:style w:type="character" w:customStyle="1" w:styleId="oddtlanswer">
    <w:name w:val="oddtlanswer"/>
    <w:rPr>
      <w:rFonts w:cs="Times New Roman"/>
    </w:rPr>
  </w:style>
  <w:style w:type="character" w:customStyle="1" w:styleId="blk">
    <w:name w:val="blk"/>
    <w:basedOn w:val="1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efaultParagraphFont">
    <w:name w:val="Default Paragraph Fon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40">
    <w:name w:val="Указатель4"/>
    <w:basedOn w:val="a"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30">
    <w:name w:val="Указатель3"/>
    <w:basedOn w:val="a"/>
    <w:pPr>
      <w:suppressLineNumbers/>
    </w:pPr>
    <w:rPr>
      <w:rFonts w:ascii="PT Astra Serif" w:hAnsi="PT Astra Serif" w:cs="FreeSans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PT Astra Serif" w:hAnsi="PT Astra Serif" w:cs="FreeSans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ConsNonformat">
    <w:name w:val="ConsNonformat"/>
    <w:pPr>
      <w:widowControl w:val="0"/>
      <w:suppressAutoHyphens/>
      <w:jc w:val="both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pPr>
      <w:suppressAutoHyphens/>
      <w:ind w:right="19771" w:firstLine="539"/>
      <w:jc w:val="both"/>
    </w:pPr>
    <w:rPr>
      <w:rFonts w:ascii="Courier New" w:hAnsi="Courier New" w:cs="Courier New"/>
      <w:lang w:val="en-US" w:eastAsia="zh-CN"/>
    </w:rPr>
  </w:style>
  <w:style w:type="paragraph" w:customStyle="1" w:styleId="af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153"/>
        <w:tab w:val="right" w:pos="8306"/>
      </w:tabs>
    </w:p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Cell">
    <w:name w:val="ConsPlusCell"/>
    <w:pPr>
      <w:suppressAutoHyphens/>
    </w:pPr>
    <w:rPr>
      <w:rFonts w:ascii="Arial" w:hAnsi="Arial" w:cs="Arial"/>
      <w:lang w:eastAsia="zh-CN"/>
    </w:rPr>
  </w:style>
  <w:style w:type="paragraph" w:customStyle="1" w:styleId="ConsPlusNonformat0">
    <w:name w:val="ConsPlu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TableText">
    <w:name w:val="Table Text"/>
    <w:pPr>
      <w:widowControl w:val="0"/>
      <w:suppressAutoHyphens/>
      <w:overflowPunct w:val="0"/>
      <w:jc w:val="both"/>
      <w:textAlignment w:val="baseline"/>
    </w:pPr>
    <w:rPr>
      <w:color w:val="000000"/>
      <w:sz w:val="24"/>
      <w:lang w:eastAsia="zh-CN"/>
    </w:rPr>
  </w:style>
  <w:style w:type="paragraph" w:customStyle="1" w:styleId="af3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pPr>
      <w:ind w:firstLine="720"/>
      <w:jc w:val="both"/>
    </w:pPr>
    <w:rPr>
      <w:sz w:val="20"/>
      <w:szCs w:val="20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16">
    <w:name w:val="Без интервала1"/>
    <w:pPr>
      <w:suppressAutoHyphens/>
    </w:pPr>
    <w:rPr>
      <w:lang w:eastAsia="zh-CN"/>
    </w:rPr>
  </w:style>
  <w:style w:type="paragraph" w:customStyle="1" w:styleId="32">
    <w:name w:val="Без интервала3"/>
    <w:pPr>
      <w:suppressAutoHyphens/>
    </w:pPr>
    <w:rPr>
      <w:lang w:eastAsia="zh-CN"/>
    </w:rPr>
  </w:style>
  <w:style w:type="paragraph" w:customStyle="1" w:styleId="17">
    <w:name w:val="Цитата1"/>
    <w:basedOn w:val="a"/>
    <w:pPr>
      <w:ind w:left="2992" w:right="2981"/>
      <w:jc w:val="both"/>
    </w:pPr>
    <w:rPr>
      <w:rFonts w:ascii="Arial" w:hAnsi="Arial" w:cs="Arial"/>
      <w:sz w:val="18"/>
    </w:rPr>
  </w:style>
  <w:style w:type="paragraph" w:styleId="af6">
    <w:name w:val="List Paragraph"/>
    <w:basedOn w:val="a"/>
    <w:qFormat/>
    <w:pPr>
      <w:ind w:left="708"/>
    </w:pPr>
  </w:style>
  <w:style w:type="paragraph" w:customStyle="1" w:styleId="25">
    <w:name w:val="Без интервала2"/>
    <w:pPr>
      <w:suppressAutoHyphens/>
    </w:pPr>
    <w:rPr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f7">
    <w:name w:val="No Spacing"/>
    <w:qFormat/>
    <w:pPr>
      <w:suppressAutoHyphens/>
    </w:pPr>
    <w:rPr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sz w:val="24"/>
      <w:szCs w:val="24"/>
      <w:lang w:eastAsia="zh-CN"/>
    </w:rPr>
  </w:style>
  <w:style w:type="paragraph" w:styleId="af8">
    <w:name w:val="Normal (Web)"/>
    <w:basedOn w:val="a"/>
    <w:pPr>
      <w:spacing w:before="100" w:after="100"/>
    </w:pPr>
  </w:style>
  <w:style w:type="paragraph" w:customStyle="1" w:styleId="p1">
    <w:name w:val="p1"/>
    <w:basedOn w:val="a"/>
    <w:pPr>
      <w:spacing w:before="100" w:after="100"/>
    </w:pPr>
  </w:style>
  <w:style w:type="paragraph" w:customStyle="1" w:styleId="p2">
    <w:name w:val="p2"/>
    <w:basedOn w:val="a"/>
    <w:pPr>
      <w:spacing w:before="100" w:after="100"/>
    </w:pPr>
  </w:style>
  <w:style w:type="paragraph" w:customStyle="1" w:styleId="p3">
    <w:name w:val="p3"/>
    <w:basedOn w:val="a"/>
    <w:pPr>
      <w:spacing w:before="100" w:after="100"/>
    </w:pPr>
  </w:style>
  <w:style w:type="paragraph" w:customStyle="1" w:styleId="p4">
    <w:name w:val="p4"/>
    <w:basedOn w:val="a"/>
    <w:pPr>
      <w:spacing w:before="100" w:after="100"/>
    </w:pPr>
  </w:style>
  <w:style w:type="paragraph" w:customStyle="1" w:styleId="p5">
    <w:name w:val="p5"/>
    <w:basedOn w:val="a"/>
    <w:pPr>
      <w:spacing w:before="100" w:after="100"/>
    </w:pPr>
  </w:style>
  <w:style w:type="paragraph" w:customStyle="1" w:styleId="p6">
    <w:name w:val="p6"/>
    <w:basedOn w:val="a"/>
    <w:pPr>
      <w:spacing w:before="100" w:after="100"/>
    </w:pPr>
  </w:style>
  <w:style w:type="paragraph" w:customStyle="1" w:styleId="p7">
    <w:name w:val="p7"/>
    <w:basedOn w:val="a"/>
    <w:pPr>
      <w:spacing w:before="100" w:after="100"/>
    </w:pPr>
  </w:style>
  <w:style w:type="paragraph" w:customStyle="1" w:styleId="p8">
    <w:name w:val="p8"/>
    <w:basedOn w:val="a"/>
    <w:pPr>
      <w:spacing w:before="100" w:after="100"/>
    </w:pPr>
  </w:style>
  <w:style w:type="paragraph" w:customStyle="1" w:styleId="p9">
    <w:name w:val="p9"/>
    <w:basedOn w:val="a"/>
    <w:pPr>
      <w:spacing w:before="100" w:after="100"/>
    </w:pPr>
  </w:style>
  <w:style w:type="paragraph" w:customStyle="1" w:styleId="p10">
    <w:name w:val="p10"/>
    <w:basedOn w:val="a"/>
    <w:pPr>
      <w:spacing w:before="100" w:after="100"/>
    </w:pPr>
  </w:style>
  <w:style w:type="paragraph" w:customStyle="1" w:styleId="p11">
    <w:name w:val="p11"/>
    <w:basedOn w:val="a"/>
    <w:pPr>
      <w:spacing w:before="100" w:after="100"/>
    </w:pPr>
  </w:style>
  <w:style w:type="paragraph" w:customStyle="1" w:styleId="p12">
    <w:name w:val="p12"/>
    <w:basedOn w:val="a"/>
    <w:pPr>
      <w:spacing w:before="100" w:after="100"/>
    </w:pPr>
  </w:style>
  <w:style w:type="paragraph" w:customStyle="1" w:styleId="p13">
    <w:name w:val="p13"/>
    <w:basedOn w:val="a"/>
    <w:pPr>
      <w:spacing w:before="100" w:after="100"/>
    </w:pPr>
  </w:style>
  <w:style w:type="paragraph" w:customStyle="1" w:styleId="p14">
    <w:name w:val="p14"/>
    <w:basedOn w:val="a"/>
    <w:pPr>
      <w:spacing w:before="100" w:after="100"/>
    </w:pPr>
  </w:style>
  <w:style w:type="paragraph" w:customStyle="1" w:styleId="p15">
    <w:name w:val="p15"/>
    <w:basedOn w:val="a"/>
    <w:pPr>
      <w:spacing w:before="100" w:after="100"/>
    </w:pPr>
  </w:style>
  <w:style w:type="paragraph" w:customStyle="1" w:styleId="p16">
    <w:name w:val="p16"/>
    <w:basedOn w:val="a"/>
    <w:pPr>
      <w:spacing w:before="100" w:after="100"/>
    </w:pPr>
  </w:style>
  <w:style w:type="paragraph" w:customStyle="1" w:styleId="FORMATTEXT">
    <w:name w:val=".FORMATTEXT"/>
    <w:pPr>
      <w:widowControl w:val="0"/>
      <w:suppressAutoHyphens/>
    </w:pPr>
    <w:rPr>
      <w:sz w:val="24"/>
      <w:szCs w:val="24"/>
      <w:lang w:eastAsia="zh-CN"/>
    </w:rPr>
  </w:style>
  <w:style w:type="paragraph" w:customStyle="1" w:styleId="18">
    <w:name w:val="Название объекта1"/>
    <w:basedOn w:val="a"/>
    <w:next w:val="a"/>
    <w:pPr>
      <w:tabs>
        <w:tab w:val="center" w:pos="1985"/>
      </w:tabs>
      <w:jc w:val="center"/>
    </w:pPr>
    <w:rPr>
      <w:b/>
      <w:sz w:val="16"/>
      <w:szCs w:val="20"/>
    </w:rPr>
  </w:style>
  <w:style w:type="paragraph" w:customStyle="1" w:styleId="pagetext">
    <w:name w:val="page_text"/>
    <w:basedOn w:val="a"/>
    <w:pPr>
      <w:spacing w:before="100" w:after="100"/>
    </w:pPr>
    <w:rPr>
      <w:rFonts w:ascii="PTSerifRegular" w:hAnsi="PTSerifRegular" w:cs="PTSerifRegular"/>
      <w:color w:val="000000"/>
      <w:sz w:val="15"/>
      <w:szCs w:val="15"/>
    </w:rPr>
  </w:style>
  <w:style w:type="paragraph" w:customStyle="1" w:styleId="pboth">
    <w:name w:val="pboth"/>
    <w:basedOn w:val="a"/>
    <w:pPr>
      <w:spacing w:before="100" w:after="100"/>
    </w:pPr>
  </w:style>
  <w:style w:type="paragraph" w:customStyle="1" w:styleId="NoSpacing">
    <w:name w:val="No Spacing"/>
    <w:pPr>
      <w:suppressAutoHyphens/>
    </w:pPr>
    <w:rPr>
      <w:lang w:eastAsia="zh-CN"/>
    </w:rPr>
  </w:style>
  <w:style w:type="paragraph" w:customStyle="1" w:styleId="af9">
    <w:name w:val="Содержимое таблицы"/>
    <w:basedOn w:val="a"/>
    <w:pPr>
      <w:widowControl w:val="0"/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customStyle="1" w:styleId="Standard">
    <w:name w:val="Standard"/>
    <w:pPr>
      <w:widowControl w:val="0"/>
      <w:suppressAutoHyphens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zh-CN"/>
    </w:rPr>
  </w:style>
  <w:style w:type="paragraph" w:customStyle="1" w:styleId="BodyTextFirstIndent">
    <w:name w:val="Body Text First Indent"/>
    <w:basedOn w:val="a"/>
    <w:pPr>
      <w:ind w:firstLine="709"/>
      <w:jc w:val="both"/>
    </w:pPr>
  </w:style>
  <w:style w:type="paragraph" w:customStyle="1" w:styleId="Standard1">
    <w:name w:val="Standard1"/>
    <w:pPr>
      <w:widowControl w:val="0"/>
      <w:suppressAutoHyphens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2904</Words>
  <Characters>16553</Characters>
  <Application>Microsoft Office Word</Application>
  <DocSecurity>0</DocSecurity>
  <Lines>137</Lines>
  <Paragraphs>38</Paragraphs>
  <ScaleCrop>false</ScaleCrop>
  <Company/>
  <LinksUpToDate>false</LinksUpToDate>
  <CharactersWithSpaces>19419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Кученёва Елена Владимировна</dc:creator>
  <cp:lastModifiedBy>Dodonov</cp:lastModifiedBy>
  <cp:revision>3</cp:revision>
  <cp:lastPrinted>2026-04-24T07:24:00Z</cp:lastPrinted>
  <dcterms:created xsi:type="dcterms:W3CDTF">2026-05-13T03:47:00Z</dcterms:created>
  <dcterms:modified xsi:type="dcterms:W3CDTF">2026-05-13T06:41:00Z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